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7FCE8" w14:textId="77777777" w:rsidR="00E4481E" w:rsidRDefault="00E4481E" w:rsidP="00E4481E">
      <w:pPr>
        <w:rPr>
          <w:rFonts w:ascii="Times New Roman" w:eastAsia="Times New Roman" w:hAnsi="Times New Roman" w:cs="Times New Roman"/>
          <w:b/>
          <w:bCs/>
          <w:sz w:val="28"/>
          <w:szCs w:val="28"/>
        </w:rPr>
      </w:pPr>
      <w:bookmarkStart w:id="0" w:name="_MailOriginal"/>
      <w:r>
        <w:rPr>
          <w:rFonts w:ascii="Times New Roman" w:eastAsia="Times New Roman" w:hAnsi="Times New Roman" w:cs="Times New Roman"/>
          <w:b/>
          <w:bCs/>
          <w:sz w:val="28"/>
          <w:szCs w:val="28"/>
        </w:rPr>
        <w:t>Inger,</w:t>
      </w:r>
    </w:p>
    <w:p w14:paraId="4E9E30CA" w14:textId="77777777" w:rsidR="00E4481E" w:rsidRDefault="00E4481E" w:rsidP="00E4481E">
      <w:pPr>
        <w:rPr>
          <w:rFonts w:ascii="Times New Roman" w:eastAsia="Times New Roman" w:hAnsi="Times New Roman" w:cs="Times New Roman"/>
          <w:b/>
          <w:bCs/>
          <w:sz w:val="28"/>
          <w:szCs w:val="28"/>
        </w:rPr>
      </w:pPr>
    </w:p>
    <w:p w14:paraId="25C298ED" w14:textId="77777777" w:rsidR="00E4481E" w:rsidRDefault="00E4481E" w:rsidP="00E4481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We prepared a FORM D for SEC submission with the SEC and sent it to our Securities for review and Legal Opinion” regarding should we submit it now “better Late than Never’ (See Below)</w:t>
      </w:r>
    </w:p>
    <w:p w14:paraId="35718EAB" w14:textId="77777777" w:rsidR="00E4481E" w:rsidRDefault="00E4481E" w:rsidP="00E4481E">
      <w:pPr>
        <w:rPr>
          <w:rFonts w:ascii="Times New Roman" w:eastAsia="Times New Roman" w:hAnsi="Times New Roman" w:cs="Times New Roman"/>
          <w:b/>
          <w:bCs/>
          <w:sz w:val="28"/>
          <w:szCs w:val="28"/>
        </w:rPr>
      </w:pPr>
    </w:p>
    <w:p w14:paraId="607B1667" w14:textId="16133A2A" w:rsidR="00E4481E" w:rsidRDefault="00E4481E" w:rsidP="00E4481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After our discussion he would not “Advise” us on the submission as it has become “CLEAR” that the SEC is trying to have us formally put in Print, did we “Sell” the Securities under (506 b) </w:t>
      </w:r>
      <w:proofErr w:type="spellStart"/>
      <w:proofErr w:type="gramStart"/>
      <w:r>
        <w:rPr>
          <w:rFonts w:ascii="Times New Roman" w:eastAsia="Times New Roman" w:hAnsi="Times New Roman" w:cs="Times New Roman"/>
          <w:b/>
          <w:bCs/>
          <w:sz w:val="28"/>
          <w:szCs w:val="28"/>
        </w:rPr>
        <w:t>wi</w:t>
      </w:r>
      <w:r w:rsidR="000F1984">
        <w:rPr>
          <w:rFonts w:ascii="Times New Roman" w:eastAsia="Times New Roman" w:hAnsi="Times New Roman" w:cs="Times New Roman"/>
          <w:b/>
          <w:bCs/>
          <w:sz w:val="28"/>
          <w:szCs w:val="28"/>
        </w:rPr>
        <w:t>t</w:t>
      </w:r>
      <w:r>
        <w:rPr>
          <w:rFonts w:ascii="Times New Roman" w:eastAsia="Times New Roman" w:hAnsi="Times New Roman" w:cs="Times New Roman"/>
          <w:b/>
          <w:bCs/>
          <w:sz w:val="28"/>
          <w:szCs w:val="28"/>
        </w:rPr>
        <w:t>ch</w:t>
      </w:r>
      <w:proofErr w:type="spellEnd"/>
      <w:proofErr w:type="gramEnd"/>
      <w:r>
        <w:rPr>
          <w:rFonts w:ascii="Times New Roman" w:eastAsia="Times New Roman" w:hAnsi="Times New Roman" w:cs="Times New Roman"/>
          <w:b/>
          <w:bCs/>
          <w:sz w:val="28"/>
          <w:szCs w:val="28"/>
        </w:rPr>
        <w:t xml:space="preserve"> allows up to 35 non-accredited investors however does not allow “Solicitation, or (506 C) which allows Solicitation however no Non-Accredited Investors.</w:t>
      </w:r>
    </w:p>
    <w:p w14:paraId="6D1756EA" w14:textId="77777777" w:rsidR="00E4481E" w:rsidRDefault="00E4481E" w:rsidP="00E4481E">
      <w:pPr>
        <w:rPr>
          <w:rFonts w:ascii="Times New Roman" w:eastAsia="Times New Roman" w:hAnsi="Times New Roman" w:cs="Times New Roman"/>
          <w:b/>
          <w:bCs/>
          <w:sz w:val="28"/>
          <w:szCs w:val="28"/>
        </w:rPr>
      </w:pPr>
    </w:p>
    <w:p w14:paraId="336E459F" w14:textId="3E3D7887" w:rsidR="00E4481E" w:rsidRDefault="00E4481E" w:rsidP="00E4481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Having “Sold” some Non</w:t>
      </w:r>
      <w:r w:rsidR="000F1984">
        <w:rPr>
          <w:rFonts w:ascii="Times New Roman" w:eastAsia="Times New Roman" w:hAnsi="Times New Roman" w:cs="Times New Roman"/>
          <w:b/>
          <w:bCs/>
          <w:sz w:val="28"/>
          <w:szCs w:val="28"/>
        </w:rPr>
        <w:t>-Accredited</w:t>
      </w:r>
      <w:r>
        <w:rPr>
          <w:rFonts w:ascii="Times New Roman" w:eastAsia="Times New Roman" w:hAnsi="Times New Roman" w:cs="Times New Roman"/>
          <w:b/>
          <w:bCs/>
          <w:sz w:val="28"/>
          <w:szCs w:val="28"/>
        </w:rPr>
        <w:t xml:space="preserve"> Investors, we proceeded under 506 B however our Counsel States that there is language in the SEC which means “Solicit means people you didn’t previously know (Which we cannot find) not the following as was our understanding of the term Solicitation:</w:t>
      </w:r>
    </w:p>
    <w:p w14:paraId="2871ACEB" w14:textId="77777777" w:rsidR="00E4481E" w:rsidRDefault="00E4481E" w:rsidP="00E4481E">
      <w:pPr>
        <w:rPr>
          <w:rFonts w:ascii="Times New Roman" w:eastAsia="Times New Roman" w:hAnsi="Times New Roman" w:cs="Times New Roman"/>
          <w:b/>
          <w:bCs/>
          <w:sz w:val="28"/>
          <w:szCs w:val="28"/>
        </w:rPr>
      </w:pPr>
    </w:p>
    <w:p w14:paraId="2C038A24" w14:textId="77777777" w:rsidR="00E4481E" w:rsidRDefault="00E4481E" w:rsidP="00E4481E">
      <w:pPr>
        <w:shd w:val="clear" w:color="auto" w:fill="FFFFFF"/>
        <w:textAlignment w:val="baseline"/>
        <w:outlineLvl w:val="1"/>
        <w:rPr>
          <w:rFonts w:ascii="Times New Roman" w:eastAsia="Times New Roman" w:hAnsi="Times New Roman" w:cs="Times New Roman"/>
          <w:b/>
          <w:bCs/>
          <w:color w:val="273A56"/>
          <w:sz w:val="28"/>
          <w:szCs w:val="28"/>
        </w:rPr>
      </w:pPr>
      <w:proofErr w:type="spellStart"/>
      <w:r>
        <w:rPr>
          <w:rFonts w:ascii="Times New Roman" w:eastAsia="Times New Roman" w:hAnsi="Times New Roman" w:cs="Times New Roman"/>
          <w:b/>
          <w:bCs/>
          <w:color w:val="273A56"/>
          <w:sz w:val="28"/>
          <w:szCs w:val="28"/>
        </w:rPr>
        <w:t>SEC.Gov</w:t>
      </w:r>
      <w:proofErr w:type="spellEnd"/>
      <w:r>
        <w:rPr>
          <w:rFonts w:ascii="Times New Roman" w:eastAsia="Times New Roman" w:hAnsi="Times New Roman" w:cs="Times New Roman"/>
          <w:b/>
          <w:bCs/>
          <w:color w:val="273A56"/>
          <w:sz w:val="28"/>
          <w:szCs w:val="28"/>
        </w:rPr>
        <w:t xml:space="preserve"> definition of general solicitation: (And Attachment(s) </w:t>
      </w:r>
    </w:p>
    <w:p w14:paraId="1ED74798" w14:textId="77777777" w:rsidR="00E4481E" w:rsidRDefault="00E4481E" w:rsidP="00E4481E">
      <w:pPr>
        <w:shd w:val="clear" w:color="auto" w:fill="FFFFFF"/>
        <w:textAlignment w:val="baseline"/>
        <w:outlineLvl w:val="1"/>
        <w:rPr>
          <w:rFonts w:ascii="Times New Roman" w:eastAsia="Times New Roman" w:hAnsi="Times New Roman" w:cs="Times New Roman"/>
          <w:b/>
          <w:bCs/>
          <w:color w:val="273A56"/>
          <w:sz w:val="28"/>
          <w:szCs w:val="28"/>
        </w:rPr>
      </w:pPr>
    </w:p>
    <w:p w14:paraId="43E254C1" w14:textId="77777777" w:rsidR="00E4481E" w:rsidRDefault="00E4481E" w:rsidP="00E4481E">
      <w:pPr>
        <w:shd w:val="clear" w:color="auto" w:fill="FFFFFF"/>
        <w:textAlignment w:val="baseline"/>
        <w:outlineLvl w:val="1"/>
        <w:rPr>
          <w:rFonts w:ascii="Times New Roman" w:eastAsia="Times New Roman" w:hAnsi="Times New Roman" w:cs="Times New Roman"/>
          <w:b/>
          <w:bCs/>
          <w:color w:val="273A56"/>
          <w:sz w:val="28"/>
          <w:szCs w:val="28"/>
        </w:rPr>
      </w:pPr>
      <w:r>
        <w:rPr>
          <w:rFonts w:ascii="Times New Roman" w:eastAsia="Times New Roman" w:hAnsi="Times New Roman" w:cs="Times New Roman"/>
          <w:b/>
          <w:bCs/>
          <w:color w:val="273A56"/>
          <w:sz w:val="28"/>
          <w:szCs w:val="28"/>
        </w:rPr>
        <w:t>Rule 506(b) of Regulation D</w:t>
      </w:r>
    </w:p>
    <w:p w14:paraId="5CDA5557"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Section 4(a)(2) of the Securities Act exempts from registration “transactions by an issuer not involving any public offering.”  Rule 506(b) is a rule under Regulation D that provides conditions that an issuer may rely on to meet the requirements of the Section 4(a)(2) exemption.  One of these conditions is that an issuer must not use general solicitation to market the securities.</w:t>
      </w:r>
    </w:p>
    <w:p w14:paraId="3F08D3A8"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“General solicitation” includes advertisements published in newspapers and magazines, public websites, communications broadcasted over television and radio, and seminars where attendees have been invited by general solicitation or general advertising.  In addition, the use of an unrestricted, and therefore publicly available, website constitutes general solicitation.  The solicitation must be an “offer” of securities, but solicitations that condition the market for an offering of securities may be considered to be offers.</w:t>
      </w:r>
    </w:p>
    <w:p w14:paraId="50ACA0D5"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p>
    <w:p w14:paraId="09A2EC31" w14:textId="4751478E"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Therefore, we should use the “Above Attached Information for our RFA for the filing of the REG D as this is their 10-B 5 Violation of “The Sale of </w:t>
      </w:r>
      <w:r w:rsidR="000F1984">
        <w:rPr>
          <w:rFonts w:ascii="Times New Roman" w:eastAsia="Times New Roman" w:hAnsi="Times New Roman" w:cs="Times New Roman"/>
          <w:color w:val="000000"/>
          <w:sz w:val="28"/>
          <w:szCs w:val="28"/>
        </w:rPr>
        <w:t>Unregistered</w:t>
      </w:r>
      <w:r>
        <w:rPr>
          <w:rFonts w:ascii="Times New Roman" w:eastAsia="Times New Roman" w:hAnsi="Times New Roman" w:cs="Times New Roman"/>
          <w:color w:val="000000"/>
          <w:sz w:val="28"/>
          <w:szCs w:val="28"/>
        </w:rPr>
        <w:t xml:space="preserve"> </w:t>
      </w:r>
      <w:r w:rsidR="000F1984">
        <w:rPr>
          <w:rFonts w:ascii="Times New Roman" w:eastAsia="Times New Roman" w:hAnsi="Times New Roman" w:cs="Times New Roman"/>
          <w:color w:val="000000"/>
          <w:sz w:val="28"/>
          <w:szCs w:val="28"/>
        </w:rPr>
        <w:t>Securities</w:t>
      </w:r>
      <w:r>
        <w:rPr>
          <w:rFonts w:ascii="Times New Roman" w:eastAsia="Times New Roman" w:hAnsi="Times New Roman" w:cs="Times New Roman"/>
          <w:color w:val="000000"/>
          <w:sz w:val="28"/>
          <w:szCs w:val="28"/>
        </w:rPr>
        <w:t xml:space="preserve">” Area. </w:t>
      </w:r>
    </w:p>
    <w:p w14:paraId="4A4BBAFD" w14:textId="77777777" w:rsidR="00E4481E" w:rsidRDefault="00E4481E" w:rsidP="00E4481E">
      <w:pPr>
        <w:rPr>
          <w:rFonts w:ascii="Times New Roman" w:hAnsi="Times New Roman" w:cs="Times New Roman"/>
          <w:sz w:val="28"/>
          <w:szCs w:val="28"/>
        </w:rPr>
      </w:pPr>
    </w:p>
    <w:p w14:paraId="565155AC" w14:textId="77777777" w:rsidR="00E4481E" w:rsidRDefault="00E4481E" w:rsidP="00E4481E">
      <w:pPr>
        <w:rPr>
          <w:rFonts w:ascii="Times New Roman" w:hAnsi="Times New Roman" w:cs="Times New Roman"/>
          <w:sz w:val="28"/>
          <w:szCs w:val="28"/>
        </w:rPr>
      </w:pPr>
      <w:r>
        <w:rPr>
          <w:rFonts w:ascii="Times New Roman" w:hAnsi="Times New Roman" w:cs="Times New Roman"/>
          <w:sz w:val="28"/>
          <w:szCs w:val="28"/>
        </w:rPr>
        <w:lastRenderedPageBreak/>
        <w:t>Sincerely,</w:t>
      </w:r>
      <w:r>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b/>
          <w:bCs/>
          <w:sz w:val="28"/>
          <w:szCs w:val="28"/>
        </w:rPr>
        <w:t>Gordon Scott Venters</w:t>
      </w:r>
      <w:r>
        <w:rPr>
          <w:rFonts w:ascii="Times New Roman" w:hAnsi="Times New Roman" w:cs="Times New Roman"/>
          <w:sz w:val="28"/>
          <w:szCs w:val="28"/>
        </w:rPr>
        <w:br/>
        <w:t>President &amp; Chief Executive Officer</w:t>
      </w:r>
      <w:r>
        <w:rPr>
          <w:rFonts w:ascii="Times New Roman" w:hAnsi="Times New Roman" w:cs="Times New Roman"/>
          <w:sz w:val="28"/>
          <w:szCs w:val="28"/>
        </w:rPr>
        <w:br/>
        <w:t>The Movie Studio, Inc.</w:t>
      </w:r>
    </w:p>
    <w:p w14:paraId="0950988E" w14:textId="77777777" w:rsidR="00E4481E" w:rsidRDefault="00E4481E" w:rsidP="00E4481E">
      <w:pPr>
        <w:rPr>
          <w:rFonts w:ascii="Times New Roman" w:hAnsi="Times New Roman" w:cs="Times New Roman"/>
          <w:sz w:val="28"/>
          <w:szCs w:val="28"/>
        </w:rPr>
      </w:pPr>
      <w:r>
        <w:rPr>
          <w:rFonts w:ascii="Times New Roman" w:hAnsi="Times New Roman" w:cs="Times New Roman"/>
          <w:sz w:val="28"/>
          <w:szCs w:val="28"/>
        </w:rPr>
        <w:t>110 Tower</w:t>
      </w:r>
    </w:p>
    <w:p w14:paraId="73F936BB" w14:textId="77777777" w:rsidR="00E4481E" w:rsidRDefault="00E4481E" w:rsidP="00E4481E">
      <w:pPr>
        <w:rPr>
          <w:rFonts w:ascii="Times New Roman" w:hAnsi="Times New Roman" w:cs="Times New Roman"/>
          <w:sz w:val="28"/>
          <w:szCs w:val="28"/>
        </w:rPr>
      </w:pPr>
      <w:r>
        <w:rPr>
          <w:rFonts w:ascii="Times New Roman" w:hAnsi="Times New Roman" w:cs="Times New Roman"/>
          <w:sz w:val="28"/>
          <w:szCs w:val="28"/>
        </w:rPr>
        <w:t xml:space="preserve">110 </w:t>
      </w:r>
      <w:proofErr w:type="spellStart"/>
      <w:r>
        <w:rPr>
          <w:rFonts w:ascii="Times New Roman" w:hAnsi="Times New Roman" w:cs="Times New Roman"/>
          <w:sz w:val="28"/>
          <w:szCs w:val="28"/>
        </w:rPr>
        <w:t>S.E</w:t>
      </w:r>
      <w:proofErr w:type="spellEnd"/>
      <w:r>
        <w:rPr>
          <w:rFonts w:ascii="Times New Roman" w:hAnsi="Times New Roman" w:cs="Times New Roman"/>
          <w:sz w:val="28"/>
          <w:szCs w:val="28"/>
        </w:rPr>
        <w:t xml:space="preserve"> 6th Street</w:t>
      </w:r>
    </w:p>
    <w:p w14:paraId="3AB59826" w14:textId="77777777" w:rsidR="00E4481E" w:rsidRDefault="00E4481E" w:rsidP="00E4481E">
      <w:pPr>
        <w:rPr>
          <w:rFonts w:ascii="Times New Roman" w:hAnsi="Times New Roman" w:cs="Times New Roman"/>
          <w:sz w:val="28"/>
          <w:szCs w:val="28"/>
        </w:rPr>
      </w:pPr>
      <w:r>
        <w:rPr>
          <w:rFonts w:ascii="Times New Roman" w:hAnsi="Times New Roman" w:cs="Times New Roman"/>
          <w:sz w:val="28"/>
          <w:szCs w:val="28"/>
        </w:rPr>
        <w:t>Suite #1700</w:t>
      </w:r>
    </w:p>
    <w:p w14:paraId="639AB927" w14:textId="77777777" w:rsidR="00E4481E" w:rsidRDefault="00E4481E" w:rsidP="00E4481E">
      <w:pPr>
        <w:rPr>
          <w:rFonts w:ascii="Times New Roman" w:hAnsi="Times New Roman" w:cs="Times New Roman"/>
          <w:sz w:val="28"/>
          <w:szCs w:val="28"/>
        </w:rPr>
      </w:pPr>
      <w:r>
        <w:rPr>
          <w:rFonts w:ascii="Times New Roman" w:hAnsi="Times New Roman" w:cs="Times New Roman"/>
          <w:sz w:val="28"/>
          <w:szCs w:val="28"/>
        </w:rPr>
        <w:t>Ft. Lauderdale, Florida 33301</w:t>
      </w:r>
    </w:p>
    <w:p w14:paraId="41BDF4B8" w14:textId="77777777" w:rsidR="00E4481E" w:rsidRDefault="00E4481E" w:rsidP="00E4481E">
      <w:pPr>
        <w:rPr>
          <w:rFonts w:ascii="Times New Roman" w:hAnsi="Times New Roman" w:cs="Times New Roman"/>
          <w:color w:val="0033BB"/>
          <w:sz w:val="28"/>
          <w:szCs w:val="28"/>
        </w:rPr>
      </w:pPr>
      <w:r>
        <w:rPr>
          <w:rFonts w:ascii="Times New Roman" w:hAnsi="Times New Roman" w:cs="Times New Roman"/>
          <w:sz w:val="28"/>
          <w:szCs w:val="28"/>
        </w:rPr>
        <w:t>Phone # 954-332-6600</w:t>
      </w:r>
      <w:r>
        <w:rPr>
          <w:rFonts w:ascii="Times New Roman" w:hAnsi="Times New Roman" w:cs="Times New Roman"/>
          <w:sz w:val="28"/>
          <w:szCs w:val="28"/>
        </w:rPr>
        <w:br/>
      </w:r>
      <w:hyperlink r:id="rId4" w:tgtFrame="_blank" w:history="1">
        <w:r>
          <w:rPr>
            <w:rStyle w:val="Hyperlink"/>
            <w:rFonts w:ascii="Times New Roman" w:hAnsi="Times New Roman" w:cs="Times New Roman"/>
            <w:color w:val="0000FF"/>
            <w:sz w:val="28"/>
            <w:szCs w:val="28"/>
          </w:rPr>
          <w:t>www.TheMovieStudio.com</w:t>
        </w:r>
      </w:hyperlink>
      <w:r>
        <w:rPr>
          <w:rFonts w:ascii="Times New Roman" w:hAnsi="Times New Roman" w:cs="Times New Roman"/>
          <w:sz w:val="28"/>
          <w:szCs w:val="28"/>
        </w:rPr>
        <w:t xml:space="preserve">  | </w:t>
      </w:r>
      <w:hyperlink r:id="rId5" w:tgtFrame="_blank" w:history="1">
        <w:r>
          <w:rPr>
            <w:rStyle w:val="Hyperlink"/>
            <w:rFonts w:ascii="Times New Roman" w:hAnsi="Times New Roman" w:cs="Times New Roman"/>
            <w:color w:val="0000FF"/>
            <w:sz w:val="28"/>
            <w:szCs w:val="28"/>
          </w:rPr>
          <w:t>GSV@TheMovieStudio.com</w:t>
        </w:r>
      </w:hyperlink>
    </w:p>
    <w:p w14:paraId="2F6211BC"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p>
    <w:p w14:paraId="604F196F"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p>
    <w:p w14:paraId="558FA3BF" w14:textId="77777777" w:rsidR="00E4481E" w:rsidRDefault="00E4481E" w:rsidP="00E4481E">
      <w:pPr>
        <w:shd w:val="clear" w:color="auto" w:fill="FFFFFF"/>
        <w:spacing w:after="150"/>
        <w:textAlignment w:val="baseline"/>
        <w:rPr>
          <w:rFonts w:ascii="Times New Roman" w:eastAsia="Times New Roman" w:hAnsi="Times New Roman" w:cs="Times New Roman"/>
          <w:color w:val="000000"/>
          <w:sz w:val="28"/>
          <w:szCs w:val="28"/>
        </w:rPr>
      </w:pPr>
    </w:p>
    <w:p w14:paraId="0289A9DC" w14:textId="77777777" w:rsidR="00E4481E" w:rsidRDefault="00E4481E" w:rsidP="00E4481E">
      <w:pPr>
        <w:rPr>
          <w:rFonts w:ascii="Times New Roman" w:eastAsia="Times New Roman" w:hAnsi="Times New Roman" w:cs="Times New Roman"/>
          <w:b/>
          <w:bCs/>
          <w:sz w:val="28"/>
          <w:szCs w:val="28"/>
        </w:rPr>
      </w:pPr>
    </w:p>
    <w:p w14:paraId="76461DBB" w14:textId="77777777" w:rsidR="00E4481E" w:rsidRDefault="00E4481E" w:rsidP="00E4481E">
      <w:pPr>
        <w:rPr>
          <w:rFonts w:eastAsia="Times New Roman"/>
        </w:rPr>
      </w:pPr>
      <w:r>
        <w:rPr>
          <w:rFonts w:eastAsia="Times New Roman"/>
          <w:b/>
          <w:bCs/>
        </w:rPr>
        <w:t>Sent:</w:t>
      </w:r>
      <w:r>
        <w:rPr>
          <w:rFonts w:eastAsia="Times New Roman"/>
        </w:rPr>
        <w:t xml:space="preserve"> Wednesday, February 15, </w:t>
      </w:r>
      <w:proofErr w:type="gramStart"/>
      <w:r>
        <w:rPr>
          <w:rFonts w:eastAsia="Times New Roman"/>
        </w:rPr>
        <w:t>2023</w:t>
      </w:r>
      <w:proofErr w:type="gramEnd"/>
      <w:r>
        <w:rPr>
          <w:rFonts w:eastAsia="Times New Roman"/>
        </w:rPr>
        <w:t xml:space="preserve"> 3:21 PM</w:t>
      </w:r>
      <w:r>
        <w:rPr>
          <w:rFonts w:eastAsia="Times New Roman"/>
        </w:rPr>
        <w:br/>
      </w:r>
      <w:r>
        <w:rPr>
          <w:rFonts w:eastAsia="Times New Roman"/>
          <w:b/>
          <w:bCs/>
        </w:rPr>
        <w:t>To:</w:t>
      </w:r>
      <w:r>
        <w:rPr>
          <w:rFonts w:eastAsia="Times New Roman"/>
        </w:rPr>
        <w:t xml:space="preserve"> Jonathan Leinwand &lt;</w:t>
      </w:r>
      <w:proofErr w:type="spellStart"/>
      <w:r>
        <w:rPr>
          <w:rFonts w:eastAsia="Times New Roman"/>
        </w:rPr>
        <w:t>jonathan@jdlpa.com</w:t>
      </w:r>
      <w:proofErr w:type="spellEnd"/>
      <w:r>
        <w:rPr>
          <w:rFonts w:eastAsia="Times New Roman"/>
        </w:rPr>
        <w:t>&gt;</w:t>
      </w:r>
      <w:r>
        <w:rPr>
          <w:rFonts w:eastAsia="Times New Roman"/>
        </w:rPr>
        <w:br/>
      </w:r>
      <w:r>
        <w:rPr>
          <w:rFonts w:eastAsia="Times New Roman"/>
          <w:b/>
          <w:bCs/>
        </w:rPr>
        <w:t>Subject:</w:t>
      </w:r>
      <w:r>
        <w:rPr>
          <w:rFonts w:eastAsia="Times New Roman"/>
        </w:rPr>
        <w:t xml:space="preserve"> The Movie Studio Regarding Form D and Attached Draft</w:t>
      </w:r>
    </w:p>
    <w:p w14:paraId="7AEF93B5" w14:textId="77777777" w:rsidR="00E4481E" w:rsidRDefault="00E4481E" w:rsidP="00E4481E"/>
    <w:p w14:paraId="54027293"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Jonathan,</w:t>
      </w:r>
    </w:p>
    <w:p w14:paraId="7CF259ED" w14:textId="77777777" w:rsidR="00E4481E" w:rsidRDefault="00E4481E" w:rsidP="00E4481E">
      <w:pPr>
        <w:rPr>
          <w:rFonts w:ascii="Times New Roman" w:hAnsi="Times New Roman" w:cs="Times New Roman"/>
          <w:sz w:val="24"/>
          <w:szCs w:val="24"/>
        </w:rPr>
      </w:pPr>
    </w:p>
    <w:p w14:paraId="7870C1D8"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We are submitting our RFA’s for the SEC and our Counsel reviewed the Form D issue and advised us that with the Form D filing it is “Better late than Never”.</w:t>
      </w:r>
    </w:p>
    <w:p w14:paraId="18C97947" w14:textId="77777777" w:rsidR="00E4481E" w:rsidRDefault="00E4481E" w:rsidP="00E4481E">
      <w:pPr>
        <w:rPr>
          <w:rFonts w:ascii="Times New Roman" w:hAnsi="Times New Roman" w:cs="Times New Roman"/>
          <w:sz w:val="24"/>
          <w:szCs w:val="24"/>
        </w:rPr>
      </w:pPr>
    </w:p>
    <w:p w14:paraId="043E4B60"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 xml:space="preserve">Due to the company’s current complexion and proceeding with our position of answering the Complaint, we wanted your advice as “Should we submit” the Form D or not. </w:t>
      </w:r>
    </w:p>
    <w:p w14:paraId="64DE464A" w14:textId="77777777" w:rsidR="00E4481E" w:rsidRDefault="00E4481E" w:rsidP="00E4481E">
      <w:pPr>
        <w:rPr>
          <w:rFonts w:ascii="Times New Roman" w:hAnsi="Times New Roman" w:cs="Times New Roman"/>
          <w:sz w:val="24"/>
          <w:szCs w:val="24"/>
        </w:rPr>
      </w:pPr>
    </w:p>
    <w:p w14:paraId="3E3B695D"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Please let us know your thoughts.</w:t>
      </w:r>
    </w:p>
    <w:p w14:paraId="0845DE85" w14:textId="77777777" w:rsidR="00E4481E" w:rsidRDefault="00E4481E" w:rsidP="00E4481E">
      <w:pPr>
        <w:rPr>
          <w:rFonts w:ascii="Times New Roman" w:hAnsi="Times New Roman" w:cs="Times New Roman"/>
          <w:sz w:val="24"/>
          <w:szCs w:val="24"/>
        </w:rPr>
      </w:pPr>
    </w:p>
    <w:p w14:paraId="7B763D99"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 xml:space="preserve">Thanks Jonathan. </w:t>
      </w:r>
    </w:p>
    <w:p w14:paraId="02261A03" w14:textId="77777777" w:rsidR="00E4481E" w:rsidRDefault="00E4481E" w:rsidP="00E4481E">
      <w:pPr>
        <w:rPr>
          <w:rFonts w:ascii="Times New Roman" w:hAnsi="Times New Roman" w:cs="Times New Roman"/>
          <w:sz w:val="24"/>
          <w:szCs w:val="24"/>
        </w:rPr>
      </w:pPr>
    </w:p>
    <w:p w14:paraId="0AC08949"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Sincerely,</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b/>
          <w:bCs/>
          <w:sz w:val="24"/>
          <w:szCs w:val="24"/>
        </w:rPr>
        <w:t>Gordon Scott Venters</w:t>
      </w:r>
      <w:r>
        <w:rPr>
          <w:rFonts w:ascii="Times New Roman" w:hAnsi="Times New Roman" w:cs="Times New Roman"/>
          <w:sz w:val="24"/>
          <w:szCs w:val="24"/>
        </w:rPr>
        <w:br/>
        <w:t>President &amp; Chief Executive Officer</w:t>
      </w:r>
      <w:r>
        <w:rPr>
          <w:rFonts w:ascii="Times New Roman" w:hAnsi="Times New Roman" w:cs="Times New Roman"/>
          <w:sz w:val="24"/>
          <w:szCs w:val="24"/>
        </w:rPr>
        <w:br/>
        <w:t>The Movie Studio, Inc.</w:t>
      </w:r>
    </w:p>
    <w:p w14:paraId="175F5EBC"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110 Tower</w:t>
      </w:r>
    </w:p>
    <w:p w14:paraId="40C21905"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 xml:space="preserve">110 </w:t>
      </w:r>
      <w:proofErr w:type="spellStart"/>
      <w:r>
        <w:rPr>
          <w:rFonts w:ascii="Times New Roman" w:hAnsi="Times New Roman" w:cs="Times New Roman"/>
          <w:sz w:val="24"/>
          <w:szCs w:val="24"/>
        </w:rPr>
        <w:t>S.E</w:t>
      </w:r>
      <w:proofErr w:type="spellEnd"/>
      <w:r>
        <w:rPr>
          <w:rFonts w:ascii="Times New Roman" w:hAnsi="Times New Roman" w:cs="Times New Roman"/>
          <w:sz w:val="24"/>
          <w:szCs w:val="24"/>
        </w:rPr>
        <w:t xml:space="preserve"> 6th Street</w:t>
      </w:r>
    </w:p>
    <w:p w14:paraId="7146B163"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Suite #1700</w:t>
      </w:r>
    </w:p>
    <w:p w14:paraId="40101FF2" w14:textId="77777777" w:rsidR="00E4481E" w:rsidRDefault="00E4481E" w:rsidP="00E4481E">
      <w:pPr>
        <w:rPr>
          <w:rFonts w:ascii="Times New Roman" w:hAnsi="Times New Roman" w:cs="Times New Roman"/>
          <w:sz w:val="24"/>
          <w:szCs w:val="24"/>
        </w:rPr>
      </w:pPr>
      <w:r>
        <w:rPr>
          <w:rFonts w:ascii="Times New Roman" w:hAnsi="Times New Roman" w:cs="Times New Roman"/>
          <w:sz w:val="24"/>
          <w:szCs w:val="24"/>
        </w:rPr>
        <w:t>Ft. Lauderdale, Florida 33301</w:t>
      </w:r>
    </w:p>
    <w:p w14:paraId="45A65FDB" w14:textId="77777777" w:rsidR="00E4481E" w:rsidRDefault="00E4481E" w:rsidP="00E4481E">
      <w:pPr>
        <w:rPr>
          <w:rFonts w:ascii="Times New Roman" w:hAnsi="Times New Roman" w:cs="Times New Roman"/>
          <w:color w:val="0033BB"/>
          <w:sz w:val="24"/>
          <w:szCs w:val="24"/>
        </w:rPr>
      </w:pPr>
      <w:r>
        <w:rPr>
          <w:rFonts w:ascii="Times New Roman" w:hAnsi="Times New Roman" w:cs="Times New Roman"/>
          <w:sz w:val="24"/>
          <w:szCs w:val="24"/>
        </w:rPr>
        <w:t>Phone # 954-332-6600</w:t>
      </w:r>
      <w:r>
        <w:rPr>
          <w:rFonts w:ascii="Times New Roman" w:hAnsi="Times New Roman" w:cs="Times New Roman"/>
          <w:sz w:val="24"/>
          <w:szCs w:val="24"/>
        </w:rPr>
        <w:br/>
      </w:r>
      <w:hyperlink r:id="rId6" w:tgtFrame="_blank" w:history="1">
        <w:r>
          <w:rPr>
            <w:rStyle w:val="Hyperlink"/>
            <w:rFonts w:ascii="Times New Roman" w:hAnsi="Times New Roman" w:cs="Times New Roman"/>
            <w:color w:val="0000FF"/>
            <w:sz w:val="24"/>
            <w:szCs w:val="24"/>
          </w:rPr>
          <w:t>www.TheMovieStudio.com</w:t>
        </w:r>
      </w:hyperlink>
      <w:r>
        <w:rPr>
          <w:rFonts w:ascii="Times New Roman" w:hAnsi="Times New Roman" w:cs="Times New Roman"/>
          <w:sz w:val="24"/>
          <w:szCs w:val="24"/>
        </w:rPr>
        <w:t xml:space="preserve">  | </w:t>
      </w:r>
      <w:hyperlink r:id="rId7" w:tgtFrame="_blank" w:history="1">
        <w:r>
          <w:rPr>
            <w:rStyle w:val="Hyperlink"/>
            <w:rFonts w:ascii="Times New Roman" w:hAnsi="Times New Roman" w:cs="Times New Roman"/>
            <w:color w:val="0000FF"/>
            <w:sz w:val="24"/>
            <w:szCs w:val="24"/>
          </w:rPr>
          <w:t>GSV@TheMovieStudio.com</w:t>
        </w:r>
      </w:hyperlink>
    </w:p>
    <w:p w14:paraId="1AB81F57" w14:textId="557E0241" w:rsidR="00E4481E" w:rsidRDefault="00E4481E" w:rsidP="00E4481E">
      <w:pPr>
        <w:rPr>
          <w:rFonts w:ascii="Arial" w:hAnsi="Arial" w:cs="Arial"/>
          <w:sz w:val="24"/>
          <w:szCs w:val="24"/>
        </w:rPr>
      </w:pPr>
      <w:r>
        <w:rPr>
          <w:rFonts w:ascii="Arial" w:hAnsi="Arial" w:cs="Arial"/>
          <w:noProof/>
          <w:sz w:val="24"/>
          <w:szCs w:val="24"/>
        </w:rPr>
        <w:lastRenderedPageBreak/>
        <w:drawing>
          <wp:inline distT="0" distB="0" distL="0" distR="0" wp14:anchorId="011F951C" wp14:editId="6EE80112">
            <wp:extent cx="5933440" cy="1097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3440" cy="1097280"/>
                    </a:xfrm>
                    <a:prstGeom prst="rect">
                      <a:avLst/>
                    </a:prstGeom>
                    <a:noFill/>
                    <a:ln>
                      <a:noFill/>
                    </a:ln>
                  </pic:spPr>
                </pic:pic>
              </a:graphicData>
            </a:graphic>
          </wp:inline>
        </w:drawing>
      </w:r>
    </w:p>
    <w:p w14:paraId="24970AB9" w14:textId="77777777" w:rsidR="00E4481E" w:rsidRDefault="00E4481E" w:rsidP="00E4481E">
      <w:pPr>
        <w:rPr>
          <w:rFonts w:ascii="Arial" w:hAnsi="Arial" w:cs="Arial"/>
          <w:sz w:val="24"/>
          <w:szCs w:val="24"/>
        </w:rPr>
      </w:pPr>
      <w:r>
        <w:rPr>
          <w:rFonts w:ascii="Verdana" w:hAnsi="Verdana"/>
          <w:color w:val="C00000"/>
          <w:sz w:val="15"/>
          <w:szCs w:val="15"/>
        </w:rPr>
        <w:t xml:space="preserve">The information in this email and in any attachments is confidential and intended solely for the attention and use of the named addressee(s).  This information is subject to legal, </w:t>
      </w:r>
      <w:proofErr w:type="gramStart"/>
      <w:r>
        <w:rPr>
          <w:rFonts w:ascii="Verdana" w:hAnsi="Verdana"/>
          <w:color w:val="C00000"/>
          <w:sz w:val="15"/>
          <w:szCs w:val="15"/>
        </w:rPr>
        <w:t>professional</w:t>
      </w:r>
      <w:proofErr w:type="gramEnd"/>
      <w:r>
        <w:rPr>
          <w:rFonts w:ascii="Verdana" w:hAnsi="Verdana"/>
          <w:color w:val="C00000"/>
          <w:sz w:val="15"/>
          <w:szCs w:val="15"/>
        </w:rPr>
        <w:t xml:space="preserve"> or other privilege or may otherwise be protected by work product immunity or other legal rules.  It must not be disclosed to any person without our authority.  If you are not the intended recipient, or a person responsible for delivering it to the intended recipient, you are not authorized to and must not disclose, copy, distribute, or retain this message or any part of it.  If you have received this message in error, please notify us by return electronic mail and delete the message and any attachments received with it from your system. </w:t>
      </w:r>
    </w:p>
    <w:p w14:paraId="518324F0" w14:textId="77777777" w:rsidR="00E4481E" w:rsidRDefault="00E4481E" w:rsidP="00E4481E">
      <w:pPr>
        <w:spacing w:before="100" w:beforeAutospacing="1" w:after="100" w:afterAutospacing="1"/>
        <w:jc w:val="both"/>
        <w:rPr>
          <w:rFonts w:ascii="Times New Roman" w:hAnsi="Times New Roman" w:cs="Times New Roman"/>
          <w:sz w:val="24"/>
          <w:szCs w:val="24"/>
        </w:rPr>
      </w:pPr>
      <w:r>
        <w:rPr>
          <w:rFonts w:ascii="Verdana" w:hAnsi="Verdana"/>
          <w:color w:val="C00000"/>
          <w:sz w:val="15"/>
          <w:szCs w:val="15"/>
        </w:rPr>
        <w:t>Forward Looking Statements and Disclaimer:</w:t>
      </w:r>
    </w:p>
    <w:p w14:paraId="2F2CDAD6" w14:textId="77777777" w:rsidR="00E4481E" w:rsidRDefault="00E4481E" w:rsidP="00E4481E">
      <w:pPr>
        <w:spacing w:before="100" w:beforeAutospacing="1" w:after="100" w:afterAutospacing="1"/>
        <w:jc w:val="both"/>
        <w:rPr>
          <w:rFonts w:ascii="Times New Roman" w:hAnsi="Times New Roman" w:cs="Times New Roman"/>
          <w:sz w:val="24"/>
          <w:szCs w:val="24"/>
        </w:rPr>
      </w:pPr>
      <w:r>
        <w:rPr>
          <w:rFonts w:ascii="Verdana" w:hAnsi="Verdana"/>
          <w:color w:val="C00000"/>
          <w:sz w:val="15"/>
          <w:szCs w:val="15"/>
        </w:rPr>
        <w:t xml:space="preserve">Statements made in this e-mail that express the Company or management's intentions, plans, beliefs, </w:t>
      </w:r>
      <w:proofErr w:type="gramStart"/>
      <w:r>
        <w:rPr>
          <w:rFonts w:ascii="Verdana" w:hAnsi="Verdana"/>
          <w:color w:val="C00000"/>
          <w:sz w:val="15"/>
          <w:szCs w:val="15"/>
        </w:rPr>
        <w:t>expectations</w:t>
      </w:r>
      <w:proofErr w:type="gramEnd"/>
      <w:r>
        <w:rPr>
          <w:rFonts w:ascii="Verdana" w:hAnsi="Verdana"/>
          <w:color w:val="C00000"/>
          <w:sz w:val="15"/>
          <w:szCs w:val="15"/>
        </w:rPr>
        <w:t xml:space="preserve"> or predictions of future events, are forward-looking statements. The words "believe," "expect," "intend," "estimate," "anticipate," "will" and similar expressions are intended to further identify such forward-looking statements, although not all forward-looking statements contain these identifying words. Those statements are based on many assumptions and are subject to many known and unknown risks, uncertainties and other factors that could cause the Company's actual activities, </w:t>
      </w:r>
      <w:proofErr w:type="gramStart"/>
      <w:r>
        <w:rPr>
          <w:rFonts w:ascii="Verdana" w:hAnsi="Verdana"/>
          <w:color w:val="C00000"/>
          <w:sz w:val="15"/>
          <w:szCs w:val="15"/>
        </w:rPr>
        <w:t>results</w:t>
      </w:r>
      <w:proofErr w:type="gramEnd"/>
      <w:r>
        <w:rPr>
          <w:rFonts w:ascii="Verdana" w:hAnsi="Verdana"/>
          <w:color w:val="C00000"/>
          <w:sz w:val="15"/>
          <w:szCs w:val="15"/>
        </w:rPr>
        <w:t xml:space="preserve"> or performance to differ materially from those anticipated or projected in such forward-looking statements. The Company cannot guarantee future financial results; levels of activity, performance or achievements and investors should not place undue reliance on the Company's forward-looking statements. No information contained in this email should be construed as any indication whatsoever of the Company's future financial performance, future </w:t>
      </w:r>
      <w:proofErr w:type="gramStart"/>
      <w:r>
        <w:rPr>
          <w:rFonts w:ascii="Verdana" w:hAnsi="Verdana"/>
          <w:color w:val="C00000"/>
          <w:sz w:val="15"/>
          <w:szCs w:val="15"/>
        </w:rPr>
        <w:t>revenues</w:t>
      </w:r>
      <w:proofErr w:type="gramEnd"/>
      <w:r>
        <w:rPr>
          <w:rFonts w:ascii="Verdana" w:hAnsi="Verdana"/>
          <w:color w:val="C00000"/>
          <w:sz w:val="15"/>
          <w:szCs w:val="15"/>
        </w:rPr>
        <w:t xml:space="preserve"> or its future stock price. The forward-looking statements contained herein represent the judgment of the Company as of the date of this press release, and the Company expressly disclaims any intent, obligation or undertaking to update or revise such forward-looking statements to reflect any change in the Company's expectations with regard thereto or any change in events, </w:t>
      </w:r>
      <w:proofErr w:type="gramStart"/>
      <w:r>
        <w:rPr>
          <w:rFonts w:ascii="Verdana" w:hAnsi="Verdana"/>
          <w:color w:val="C00000"/>
          <w:sz w:val="15"/>
          <w:szCs w:val="15"/>
        </w:rPr>
        <w:t>conditions</w:t>
      </w:r>
      <w:proofErr w:type="gramEnd"/>
      <w:r>
        <w:rPr>
          <w:rFonts w:ascii="Verdana" w:hAnsi="Verdana"/>
          <w:color w:val="C00000"/>
          <w:sz w:val="15"/>
          <w:szCs w:val="15"/>
        </w:rPr>
        <w:t xml:space="preserve"> or circumstances on which any such statements are based. No information in this e-mail should be construed as any indication whatsoever of the Company's future revenues or results of operations.</w:t>
      </w:r>
    </w:p>
    <w:p w14:paraId="66D420CD" w14:textId="77777777" w:rsidR="00E4481E" w:rsidRDefault="00E4481E" w:rsidP="00E4481E">
      <w:pPr>
        <w:shd w:val="clear" w:color="auto" w:fill="FFFFFF"/>
        <w:rPr>
          <w:rFonts w:ascii="Arial" w:hAnsi="Arial" w:cs="Arial"/>
          <w:sz w:val="24"/>
          <w:szCs w:val="24"/>
        </w:rPr>
      </w:pPr>
    </w:p>
    <w:bookmarkEnd w:id="0"/>
    <w:p w14:paraId="72FB493D" w14:textId="77777777" w:rsidR="00E4481E" w:rsidRDefault="00E4481E" w:rsidP="00E4481E"/>
    <w:p w14:paraId="4D1528C1" w14:textId="77777777" w:rsidR="00FA4433" w:rsidRDefault="00FA4433"/>
    <w:sectPr w:rsidR="00FA44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1E"/>
    <w:rsid w:val="000F1984"/>
    <w:rsid w:val="00E4481E"/>
    <w:rsid w:val="00FA4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2AE41"/>
  <w15:chartTrackingRefBased/>
  <w15:docId w15:val="{C6ADB424-E2F9-49D0-A88A-DC2144902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1E"/>
    <w:pPr>
      <w:spacing w:after="0" w:line="240" w:lineRule="auto"/>
    </w:pPr>
    <w:rPr>
      <w:rFonts w:ascii="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48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gsv@themovie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moviestudio.com/" TargetMode="External"/><Relationship Id="rId5" Type="http://schemas.openxmlformats.org/officeDocument/2006/relationships/hyperlink" Target="mailto:gsv@themoviestudio.com" TargetMode="External"/><Relationship Id="rId10" Type="http://schemas.openxmlformats.org/officeDocument/2006/relationships/theme" Target="theme/theme1.xml"/><Relationship Id="rId4" Type="http://schemas.openxmlformats.org/officeDocument/2006/relationships/hyperlink" Target="http://themoviestudio.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846</Words>
  <Characters>4824</Characters>
  <Application>Microsoft Office Word</Application>
  <DocSecurity>0</DocSecurity>
  <Lines>40</Lines>
  <Paragraphs>11</Paragraphs>
  <ScaleCrop>false</ScaleCrop>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2</cp:revision>
  <dcterms:created xsi:type="dcterms:W3CDTF">2023-02-17T20:53:00Z</dcterms:created>
  <dcterms:modified xsi:type="dcterms:W3CDTF">2023-02-17T20:53:00Z</dcterms:modified>
</cp:coreProperties>
</file>